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9240"/>
      </w:tblGrid>
      <w:tr w:rsidR="00172FD1" w:rsidRPr="00172FD1" w:rsidTr="00172FD1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jc w:val="right"/>
              <w:rPr>
                <w:rFonts w:ascii="細明體" w:eastAsia="細明體" w:hAnsi="細明體" w:cs="新細明體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法規名稱：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bookmarkStart w:id="0" w:name="_GoBack"/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教育部國民及學前教育署補助高級中等學校</w:t>
            </w:r>
            <w:proofErr w:type="gramStart"/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遴</w:t>
            </w:r>
            <w:proofErr w:type="gramEnd"/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聘業界專家協同教學作業要點</w:t>
            </w:r>
            <w:bookmarkEnd w:id="0"/>
          </w:p>
        </w:tc>
      </w:tr>
      <w:tr w:rsidR="00172FD1" w:rsidRPr="00172FD1" w:rsidTr="00172FD1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公發布日：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民國 99 年 05 月 28 日</w:t>
            </w:r>
          </w:p>
        </w:tc>
      </w:tr>
      <w:tr w:rsidR="00172FD1" w:rsidRPr="00172FD1" w:rsidTr="00172FD1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修正日期：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民國 110 年 01 月 21 日</w:t>
            </w:r>
          </w:p>
        </w:tc>
      </w:tr>
      <w:tr w:rsidR="00172FD1" w:rsidRPr="00172FD1" w:rsidTr="00172FD1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proofErr w:type="gramStart"/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臺教國署高</w:t>
            </w:r>
            <w:proofErr w:type="gramEnd"/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字第1090164384B號 令</w:t>
            </w:r>
          </w:p>
        </w:tc>
      </w:tr>
      <w:tr w:rsidR="00172FD1" w:rsidRPr="00172FD1" w:rsidTr="00172FD1">
        <w:tc>
          <w:tcPr>
            <w:tcW w:w="156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法規體系：</w:t>
            </w:r>
          </w:p>
        </w:tc>
        <w:tc>
          <w:tcPr>
            <w:tcW w:w="9240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172FD1" w:rsidRPr="00172FD1" w:rsidRDefault="00172FD1" w:rsidP="00172FD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172FD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國民及學前教育</w:t>
            </w:r>
          </w:p>
        </w:tc>
      </w:tr>
    </w:tbl>
    <w:p w:rsidR="003C3FB2" w:rsidRPr="00172FD1" w:rsidRDefault="00172FD1" w:rsidP="00172FD1">
      <w:pPr>
        <w:widowControl/>
        <w:shd w:val="clear" w:color="auto" w:fill="FFFFFF"/>
        <w:spacing w:before="100" w:beforeAutospacing="1" w:after="100" w:afterAutospacing="1"/>
      </w:pP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一、教育部國民及學前教育署（以下簡稱本署）為鼓勵學校依高級中等學校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遴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聘業界專家協同教學實施辦法（以下簡稱本辦法）之規定，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遴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聘業界專家協同教學，促進理論與實務結合，提升技職教育價值，特訂定本要點。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二、本要點適用於技術型高級中等學校、普通型高級中等學校附設專業群、科（包括進修部、實用技能學程）及綜合型高級中等學校專門學程（以下簡稱學校）。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三、本要點所稱業界專家，指具有本辦法第三條第一項各款所定資格之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一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者。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前項業界實務工作經驗，依本辦法第三條第二項規定，不包括於短期補習班或學校從事之教學工作。但藝術類之業界專家於藝術類學校、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幼兒園或托嬰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中心之教學工作，不在此限。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四、學校配合群、科特色或產業發展需要，得規劃專任教師與業界專家共同教學之課程，並共同授課。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學校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遴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聘業界專家協同教學，得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向本署申請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補助；其申請補助，應於每年四月三十日前擬具協同教學計畫書，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報本署審查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通過後，核定其計畫書及補助經費。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前項申請，以學年為單位；其補助經費，分別於第一及第二學期核撥。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第二項計畫書之格式及內容，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由本署另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定之。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五、學校每班之協同授課時數，每學期以七星期，每星期以六節為限；同一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個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科目，得由業界專家一人以上協同授課；每一業界專家至多得至四所學校協同授課，於同一學校同一科，以協同教授二個科目為限。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六、業界專家教授之課程，依本辦法第七條規定，以依高級中等學校實習課程實施辦法開設之二年級、三年級實習課程為限。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七、依本要點補助之項目如下：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(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一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)業界專家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１、鐘點費：每人每節新臺幣（以下同）八百元。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２、交通費：每人每學期每科目以七次為限，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覈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實報支。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(二)學校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１、業務費：包括印刷費、教材製作費、設備維護、物品費及耗材費，以辦理科數為補助基準；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每科依協同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授課節數予以補助，至多四萬元為限。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２、教學材料費：每節補助五百元，每校以補助十五萬元為限。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lastRenderedPageBreak/>
        <w:br/>
        <w:t>八、直轄市、縣（市）政府主管之學校依本要點獲准補助者，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本署應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依中央對直轄市及縣（市）政府補助辦法規定，依各該政府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財力級次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，給予不同補助，各地方政府並應編列相對配合款。直轄市、縣（市）政府財力分級屬第一級者，最高補助百分之八十；第二級者，最高補助百分之八十五；第三級者，最高補助百分之八十八；第四級者，最高補助百分之八十九；第五級者，最高補助百分之九十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九、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本署應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於每年三月三十一日前，辦理本要點補助之申請說明會及相關宣導；受理申請案後，應於五月三十一日前審查完竣，並於六月三十日前核定公告審查結果。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前項作業期限，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以本署公告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或函文規定者為主。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 xml:space="preserve">　　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本署為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審查申請案，得邀請學者專家及機關代表，組成審查小組；必要時得請學校列席說明。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十、本要點補助經費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之核結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，應依教育部補（捐）助及委辦經費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核撥結報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作業要點規定辦理。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十一、學校應於每學年結束後二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個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月內，提出學年執行成效報告，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作為本署核定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次學年度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補助參據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。</w:t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</w:r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br/>
        <w:t>十二、學校執行本要點之補助，違反經核定之計畫書、本要點或其他相關法令之規定者，</w:t>
      </w:r>
      <w:proofErr w:type="gramStart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本署得</w:t>
      </w:r>
      <w:proofErr w:type="gramEnd"/>
      <w:r w:rsidRPr="00172FD1">
        <w:rPr>
          <w:rFonts w:ascii="細明體" w:eastAsia="細明體" w:hAnsi="細明體" w:cs="新細明體" w:hint="eastAsia"/>
          <w:color w:val="000000"/>
          <w:kern w:val="0"/>
          <w:szCs w:val="24"/>
        </w:rPr>
        <w:t>廢止全部或部分之補助處分，並以書面行政處分通知學校限期返還已核撥之補助款。</w:t>
      </w:r>
    </w:p>
    <w:sectPr w:rsidR="003C3FB2" w:rsidRPr="00172FD1" w:rsidSect="00172F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D1"/>
    <w:rsid w:val="00172FD1"/>
    <w:rsid w:val="003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809FD-DBC3-488E-8D50-EF6D1428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2F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Company>User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2021-02-22T03:54:00Z</dcterms:created>
  <dcterms:modified xsi:type="dcterms:W3CDTF">2021-02-22T03:56:00Z</dcterms:modified>
</cp:coreProperties>
</file>